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21 264 vom 27. April 2022</w:t>
      </w:r>
    </w:p>
    <w:p>
      <w:r>
        <w:t>BL Gerichte, 2022-04-27, DE</w:t>
      </w:r>
    </w:p>
    <w:p>
      <w:r>
        <w:rPr>
          <w:b/>
        </w:rPr>
        <w:t xml:space="preserve">Quelle: </w:t>
      </w:r>
      <w:r>
        <w:t>https://mcp.opencaselaw.ch/entscheid/bl_gerichte_810 21 264</w:t>
      </w:r>
    </w:p>
    <w:p>
      <w:r>
        <w:t>FR: BL_GERICHTE 810 21 264 du 27 avril 2022</w:t>
      </w:r>
    </w:p>
    <w:p>
      <w:r>
        <w:t>IT: BL_GERICHTE 810 21 264 del 27 aprile 2022</w:t>
      </w:r>
    </w:p>
    <w:p>
      <w:pPr>
        <w:pStyle w:val="Heading2"/>
      </w:pPr>
      <w:r>
        <w:t>Regeste</w:t>
      </w:r>
    </w:p>
    <w:p>
      <w:r>
        <w:t>Nichtverlängerung der Aufenthaltsbewilligung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des Beschwerdeführers um unentgeltliche Prozessführung und Verbeiständung wird abgewiesen.</w:t>
      </w:r>
    </w:p>
    <w:p>
      <w:r>
        <w:rPr>
          <w:b/>
        </w:rPr>
        <w:t>E. 3</w:t>
      </w:r>
    </w:p>
    <w:p>
      <w:r>
        <w:t>Die Verfahrenskosten in der Höhe von Fr. 1'500.-- werden dem Beschwerdeführer auferlegt.</w:t>
      </w:r>
    </w:p>
    <w:p>
      <w:r>
        <w:rPr>
          <w:b/>
        </w:rPr>
        <w:t>E. 4</w:t>
      </w:r>
    </w:p>
    <w:p>
      <w:r>
        <w:t>Die Parteikosten werden wettgeschlagen. Vizepräsident Gerichtsschreiberin i.V. Gegen diesen Entscheid wurde am 19. September 2022 Beschwerde beim Bundesgericht (2C_766/2022)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